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bookmarkStart w:colFirst="0" w:colLast="0" w:name="bookmark=id.3znysh7" w:id="2"/>
    <w:bookmarkEnd w:id="2"/>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are included in the Framework Prices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Except as expressly set out in Paragraph 4 below, or otherwise stated in a Call Off Order Form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Prices shall include all costs and expenses relating to the provision of Deliverables. No further amounts shall be payable in respect of matters such as: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 </w:t>
      </w:r>
      <w:r w:rsidDel="00000000" w:rsidR="00000000" w:rsidRPr="00000000">
        <w:rPr>
          <w:rFonts w:ascii="Arial" w:cs="Arial" w:eastAsia="Arial" w:hAnsi="Arial"/>
          <w:b w:val="1"/>
          <w:sz w:val="24"/>
          <w:szCs w:val="24"/>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movement in the different identified cost components of the relevant Framework Price;</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reasons for the movement in the different identified cost components of the relevant Framework Price;</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consider each request for a price increase.  CCS may grant Approval to an increase at its sole discretion.</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 where Annex 1 states that a particular Framework Price or any component is “subject to Indexation” in which event Paragraph </w:t>
      </w: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below shall apply. </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When the Framework Prices are linked to inflation</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Framework Charges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Prices shall not be indexed during the first 1 year following the Framework Contract Commencement Date.  </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Annex 1 states a Framework Price is subject to Indexation then it will be indexed on the date which is 1 year after the Framework Commencement Date to reflect the percentage change in the CPI since the Framework Commencement Date.  They shall be indexed on each following yearly anniversary to reflect the percentage change in the CPI since the previous change.</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CPI Index:</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used to carry out an indexation calculation is updated (for example due to it being provisional) then the indexation calculation shall also be updated unless C</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 and the Supplier agree otherwise; </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 longer published, CCS and the Supplier shall agree a fair and reasonable replacement that will have substantially the same effect.</w:t>
      </w:r>
    </w:p>
    <w:p w:rsidR="00000000" w:rsidDel="00000000" w:rsidP="00000000" w:rsidRDefault="00000000" w:rsidRPr="00000000" w14:paraId="0000002A">
      <w:pPr>
        <w:rPr>
          <w:highlight w:val="yellow"/>
        </w:rPr>
      </w:pPr>
      <w:bookmarkStart w:colFirst="0" w:colLast="0" w:name="_heading=h.tyjcwt" w:id="5"/>
      <w:bookmarkEnd w:id="5"/>
      <w:r w:rsidDel="00000000" w:rsidR="00000000" w:rsidRPr="00000000">
        <w:rPr>
          <w:rtl w:val="0"/>
        </w:rPr>
      </w:r>
    </w:p>
    <w:p w:rsidR="00000000" w:rsidDel="00000000" w:rsidP="00000000" w:rsidRDefault="00000000" w:rsidRPr="00000000" w14:paraId="0000002B">
      <w:pPr>
        <w:rPr>
          <w:highlight w:val="yellow"/>
        </w:rPr>
      </w:pPr>
      <w:r w:rsidDel="00000000" w:rsidR="00000000" w:rsidRPr="00000000">
        <w:rPr>
          <w:rtl w:val="0"/>
        </w:rPr>
      </w:r>
    </w:p>
    <w:p w:rsidR="00000000" w:rsidDel="00000000" w:rsidP="00000000" w:rsidRDefault="00000000" w:rsidRPr="00000000" w14:paraId="0000002C">
      <w:pPr>
        <w:rPr>
          <w:highlight w:val="yellow"/>
        </w:rPr>
      </w:pPr>
      <w:r w:rsidDel="00000000" w:rsidR="00000000" w:rsidRPr="00000000">
        <w:rPr>
          <w:rtl w:val="0"/>
        </w:rPr>
      </w:r>
    </w:p>
    <w:p w:rsidR="00000000" w:rsidDel="00000000" w:rsidP="00000000" w:rsidRDefault="00000000" w:rsidRPr="00000000" w14:paraId="0000002D">
      <w:pPr>
        <w:rPr>
          <w:highlight w:val="yellow"/>
        </w:rPr>
      </w:pPr>
      <w:r w:rsidDel="00000000" w:rsidR="00000000" w:rsidRPr="00000000">
        <w:rPr>
          <w:rtl w:val="0"/>
        </w:rPr>
      </w:r>
    </w:p>
    <w:p w:rsidR="00000000" w:rsidDel="00000000" w:rsidP="00000000" w:rsidRDefault="00000000" w:rsidRPr="00000000" w14:paraId="0000002E">
      <w:pPr>
        <w:rPr>
          <w:highlight w:val="yellow"/>
        </w:rPr>
      </w:pPr>
      <w:r w:rsidDel="00000000" w:rsidR="00000000" w:rsidRPr="00000000">
        <w:rPr>
          <w:rtl w:val="0"/>
        </w:rPr>
      </w:r>
    </w:p>
    <w:p w:rsidR="00000000" w:rsidDel="00000000" w:rsidP="00000000" w:rsidRDefault="00000000" w:rsidRPr="00000000" w14:paraId="0000002F">
      <w:pPr>
        <w:rPr>
          <w:highlight w:val="yellow"/>
        </w:rPr>
      </w:pPr>
      <w:r w:rsidDel="00000000" w:rsidR="00000000" w:rsidRPr="00000000">
        <w:rPr>
          <w:rtl w:val="0"/>
        </w:rPr>
      </w:r>
    </w:p>
    <w:p w:rsidR="00000000" w:rsidDel="00000000" w:rsidP="00000000" w:rsidRDefault="00000000" w:rsidRPr="00000000" w14:paraId="00000030">
      <w:pPr>
        <w:rPr>
          <w:highlight w:val="yellow"/>
        </w:rPr>
      </w:pPr>
      <w:r w:rsidDel="00000000" w:rsidR="00000000" w:rsidRPr="00000000">
        <w:rPr>
          <w:rtl w:val="0"/>
        </w:rPr>
      </w:r>
    </w:p>
    <w:p w:rsidR="00000000" w:rsidDel="00000000" w:rsidP="00000000" w:rsidRDefault="00000000" w:rsidRPr="00000000" w14:paraId="00000031">
      <w:pPr>
        <w:rPr>
          <w:highlight w:val="yellow"/>
        </w:rPr>
      </w:pPr>
      <w:r w:rsidDel="00000000" w:rsidR="00000000" w:rsidRPr="00000000">
        <w:rPr>
          <w:rtl w:val="0"/>
        </w:rPr>
      </w:r>
    </w:p>
    <w:p w:rsidR="00000000" w:rsidDel="00000000" w:rsidP="00000000" w:rsidRDefault="00000000" w:rsidRPr="00000000" w14:paraId="00000032">
      <w:pPr>
        <w:rPr>
          <w:highlight w:val="yellow"/>
        </w:rPr>
      </w:pPr>
      <w:r w:rsidDel="00000000" w:rsidR="00000000" w:rsidRPr="00000000">
        <w:rPr>
          <w:rtl w:val="0"/>
        </w:rPr>
      </w:r>
    </w:p>
    <w:p w:rsidR="00000000" w:rsidDel="00000000" w:rsidP="00000000" w:rsidRDefault="00000000" w:rsidRPr="00000000" w14:paraId="00000033">
      <w:pPr>
        <w:rPr>
          <w:highlight w:val="yellow"/>
        </w:rPr>
      </w:pPr>
      <w:r w:rsidDel="00000000" w:rsidR="00000000" w:rsidRPr="00000000">
        <w:rPr>
          <w:rtl w:val="0"/>
        </w:rPr>
      </w:r>
    </w:p>
    <w:p w:rsidR="00000000" w:rsidDel="00000000" w:rsidP="00000000" w:rsidRDefault="00000000" w:rsidRPr="00000000" w14:paraId="00000034">
      <w:pPr>
        <w:rPr>
          <w:highlight w:val="yellow"/>
        </w:rPr>
      </w:pPr>
      <w:r w:rsidDel="00000000" w:rsidR="00000000" w:rsidRPr="00000000">
        <w:rPr>
          <w:rtl w:val="0"/>
        </w:rPr>
      </w:r>
    </w:p>
    <w:p w:rsidR="00000000" w:rsidDel="00000000" w:rsidP="00000000" w:rsidRDefault="00000000" w:rsidRPr="00000000" w14:paraId="00000035">
      <w:pPr>
        <w:rPr>
          <w:highlight w:val="yellow"/>
        </w:rPr>
      </w:pPr>
      <w:r w:rsidDel="00000000" w:rsidR="00000000" w:rsidRPr="00000000">
        <w:rPr>
          <w:rtl w:val="0"/>
        </w:rPr>
      </w:r>
    </w:p>
    <w:p w:rsidR="00000000" w:rsidDel="00000000" w:rsidP="00000000" w:rsidRDefault="00000000" w:rsidRPr="00000000" w14:paraId="00000036">
      <w:pPr>
        <w:rPr>
          <w:highlight w:val="yellow"/>
        </w:rPr>
      </w:pPr>
      <w:r w:rsidDel="00000000" w:rsidR="00000000" w:rsidRPr="00000000">
        <w:rPr>
          <w:rtl w:val="0"/>
        </w:rPr>
      </w:r>
    </w:p>
    <w:p w:rsidR="00000000" w:rsidDel="00000000" w:rsidP="00000000" w:rsidRDefault="00000000" w:rsidRPr="00000000" w14:paraId="00000037">
      <w:pPr>
        <w:rPr>
          <w:highlight w:val="yellow"/>
        </w:rPr>
      </w:pPr>
      <w:r w:rsidDel="00000000" w:rsidR="00000000" w:rsidRPr="00000000">
        <w:rPr>
          <w:rtl w:val="0"/>
        </w:rPr>
      </w:r>
    </w:p>
    <w:p w:rsidR="00000000" w:rsidDel="00000000" w:rsidP="00000000" w:rsidRDefault="00000000" w:rsidRPr="00000000" w14:paraId="00000038">
      <w:pPr>
        <w:rPr>
          <w:highlight w:val="yellow"/>
        </w:rPr>
      </w:pPr>
      <w:r w:rsidDel="00000000" w:rsidR="00000000" w:rsidRPr="00000000">
        <w:rPr>
          <w:rtl w:val="0"/>
        </w:rPr>
      </w:r>
    </w:p>
    <w:p w:rsidR="00000000" w:rsidDel="00000000" w:rsidP="00000000" w:rsidRDefault="00000000" w:rsidRPr="00000000" w14:paraId="00000039">
      <w:pPr>
        <w:rPr>
          <w:highlight w:val="yellow"/>
        </w:rPr>
      </w:pPr>
      <w:r w:rsidDel="00000000" w:rsidR="00000000" w:rsidRPr="00000000">
        <w:rPr>
          <w:rtl w:val="0"/>
        </w:rPr>
      </w:r>
    </w:p>
    <w:p w:rsidR="00000000" w:rsidDel="00000000" w:rsidP="00000000" w:rsidRDefault="00000000" w:rsidRPr="00000000" w14:paraId="0000003A">
      <w:pPr>
        <w:rPr>
          <w:highlight w:val="yellow"/>
        </w:rPr>
      </w:pPr>
      <w:r w:rsidDel="00000000" w:rsidR="00000000" w:rsidRPr="00000000">
        <w:rPr>
          <w:rtl w:val="0"/>
        </w:rPr>
      </w:r>
    </w:p>
    <w:p w:rsidR="00000000" w:rsidDel="00000000" w:rsidP="00000000" w:rsidRDefault="00000000" w:rsidRPr="00000000" w14:paraId="0000003B">
      <w:pPr>
        <w:rPr>
          <w:highlight w:val="yellow"/>
        </w:rPr>
      </w:pPr>
      <w:r w:rsidDel="00000000" w:rsidR="00000000" w:rsidRPr="00000000">
        <w:rPr>
          <w:rtl w:val="0"/>
        </w:rPr>
      </w:r>
    </w:p>
    <w:p w:rsidR="00000000" w:rsidDel="00000000" w:rsidP="00000000" w:rsidRDefault="00000000" w:rsidRPr="00000000" w14:paraId="0000003C">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3D">
      <w:pPr>
        <w:keepNext w:val="1"/>
        <w:spacing w:after="240" w:before="24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Table 1: Time and Materials</w:t>
      </w:r>
    </w:p>
    <w:p w:rsidR="00000000" w:rsidDel="00000000" w:rsidP="00000000" w:rsidRDefault="00000000" w:rsidRPr="00000000" w14:paraId="0000003E">
      <w:pPr>
        <w:keepNext w:val="1"/>
        <w:spacing w:after="240" w:before="240" w:line="240" w:lineRule="auto"/>
        <w:rPr>
          <w:rFonts w:ascii="Arial" w:cs="Arial" w:eastAsia="Arial" w:hAnsi="Arial"/>
        </w:rPr>
      </w:pPr>
      <w:r w:rsidDel="00000000" w:rsidR="00000000" w:rsidRPr="00000000">
        <w:rPr>
          <w:rFonts w:ascii="Arial" w:cs="Arial" w:eastAsia="Arial" w:hAnsi="Arial"/>
          <w:rtl w:val="0"/>
        </w:rPr>
        <w:t xml:space="preserve">The Supplier (and its Sub-Contractor) shall not be entitled to include any uplift for risks or contingencies within its day rates</w:t>
      </w:r>
    </w:p>
    <w:p w:rsidR="00000000" w:rsidDel="00000000" w:rsidP="00000000" w:rsidRDefault="00000000" w:rsidRPr="00000000" w14:paraId="0000003F">
      <w:pPr>
        <w:spacing w:after="240" w:before="240" w:line="240" w:lineRule="auto"/>
        <w:rPr>
          <w:rFonts w:ascii="Arial Bold" w:cs="Arial Bold" w:eastAsia="Arial Bold" w:hAnsi="Arial Bold"/>
          <w:b w:val="1"/>
          <w:smallCaps w:val="1"/>
          <w:color w:val="000000"/>
        </w:rPr>
      </w:pPr>
      <w:r w:rsidDel="00000000" w:rsidR="00000000" w:rsidRPr="00000000">
        <w:rPr>
          <w:rFonts w:ascii="Arial Bold" w:cs="Arial Bold" w:eastAsia="Arial Bold" w:hAnsi="Arial Bold"/>
          <w:b w:val="1"/>
          <w:smallCaps w:val="1"/>
          <w:color w:val="000000"/>
          <w:rtl w:val="0"/>
        </w:rPr>
        <w:t xml:space="preserve">TABLE 1: </w:t>
      </w:r>
    </w:p>
    <w:p w:rsidR="00000000" w:rsidDel="00000000" w:rsidP="00000000" w:rsidRDefault="00000000" w:rsidRPr="00000000" w14:paraId="00000040">
      <w:pPr>
        <w:spacing w:after="240" w:before="240" w:line="240" w:lineRule="auto"/>
        <w:rPr>
          <w:rFonts w:ascii="Arial" w:cs="Arial" w:eastAsia="Arial" w:hAnsi="Arial"/>
        </w:rPr>
      </w:pPr>
      <w:r w:rsidDel="00000000" w:rsidR="00000000" w:rsidRPr="00000000">
        <w:rPr>
          <w:rFonts w:ascii="Arial" w:cs="Arial" w:eastAsia="Arial" w:hAnsi="Arial"/>
          <w:smallCaps w:val="1"/>
          <w:color w:val="000000"/>
          <w:rtl w:val="0"/>
        </w:rPr>
        <w:t xml:space="preserve">Water </w:t>
      </w:r>
      <w:r w:rsidDel="00000000" w:rsidR="00000000" w:rsidRPr="00000000">
        <w:rPr>
          <w:rFonts w:ascii="Arial" w:cs="Arial" w:eastAsia="Arial" w:hAnsi="Arial"/>
          <w:smallCaps w:val="1"/>
          <w:rtl w:val="0"/>
        </w:rPr>
        <w:t xml:space="preserve">Supply and Sewerage Services (Lot 1) Water Ancillary Services (Lot 2)</w:t>
      </w:r>
      <w:r w:rsidDel="00000000" w:rsidR="00000000" w:rsidRPr="00000000">
        <w:rPr>
          <w:rtl w:val="0"/>
        </w:rPr>
      </w:r>
    </w:p>
    <w:tbl>
      <w:tblPr>
        <w:tblStyle w:val="Table1"/>
        <w:tblW w:w="87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1"/>
        <w:gridCol w:w="3167"/>
        <w:tblGridChange w:id="0">
          <w:tblGrid>
            <w:gridCol w:w="5621"/>
            <w:gridCol w:w="3167"/>
          </w:tblGrid>
        </w:tblGridChange>
      </w:tblGrid>
      <w:tr>
        <w:trPr>
          <w:cantSplit w:val="0"/>
          <w:trHeight w:val="763"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tcPr>
          <w:p w:rsidR="00000000" w:rsidDel="00000000" w:rsidP="00000000" w:rsidRDefault="00000000" w:rsidRPr="00000000" w14:paraId="00000041">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Framework Price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tcPr>
          <w:p w:rsidR="00000000" w:rsidDel="00000000" w:rsidP="00000000" w:rsidRDefault="00000000" w:rsidRPr="00000000" w14:paraId="00000042">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Pricing Mechanism</w:t>
            </w:r>
            <w:r w:rsidDel="00000000" w:rsidR="00000000" w:rsidRPr="00000000">
              <w:rPr>
                <w:rtl w:val="0"/>
              </w:rPr>
            </w:r>
          </w:p>
        </w:tc>
      </w:tr>
      <w:tr>
        <w:trPr>
          <w:cantSplit w:val="0"/>
          <w:trHeight w:val="74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3">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tl w:val="0"/>
              </w:rPr>
              <w:t xml:space="preserve">Water Supply and Sewerage Services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4">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tl w:val="0"/>
              </w:rPr>
              <w:t xml:space="preserve">Fixed </w:t>
            </w:r>
            <w:r w:rsidDel="00000000" w:rsidR="00000000" w:rsidRPr="00000000">
              <w:rPr>
                <w:rFonts w:ascii="Calibri" w:cs="Calibri" w:eastAsia="Calibri" w:hAnsi="Calibri"/>
                <w:color w:val="000000"/>
                <w:rtl w:val="0"/>
              </w:rPr>
              <w:t xml:space="preserve"> </w:t>
            </w:r>
            <w:r w:rsidDel="00000000" w:rsidR="00000000" w:rsidRPr="00000000">
              <w:rPr>
                <w:rtl w:val="0"/>
              </w:rPr>
            </w:r>
          </w:p>
        </w:tc>
      </w:tr>
      <w:tr>
        <w:trPr>
          <w:cantSplit w:val="0"/>
          <w:trHeight w:val="74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5">
            <w:pPr>
              <w:spacing w:after="120" w:before="240" w:lineRule="auto"/>
              <w:ind w:left="142" w:firstLine="0"/>
              <w:jc w:val="both"/>
              <w:rPr>
                <w:rFonts w:ascii="Times New Roman" w:cs="Times New Roman" w:eastAsia="Times New Roman" w:hAnsi="Times New Roman"/>
                <w:sz w:val="24"/>
                <w:szCs w:val="24"/>
              </w:rPr>
            </w:pPr>
            <w:r w:rsidDel="00000000" w:rsidR="00000000" w:rsidRPr="00000000">
              <w:rPr>
                <w:rtl w:val="0"/>
              </w:rPr>
              <w:t xml:space="preserve">Water Ancillary Services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46">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tl w:val="0"/>
              </w:rPr>
              <w:t xml:space="preserve">Time &amp; Materials</w:t>
            </w:r>
            <w:r w:rsidDel="00000000" w:rsidR="00000000" w:rsidRPr="00000000">
              <w:rPr>
                <w:rtl w:val="0"/>
              </w:rPr>
            </w:r>
          </w:p>
        </w:tc>
      </w:tr>
    </w:tbl>
    <w:p w:rsidR="00000000" w:rsidDel="00000000" w:rsidP="00000000" w:rsidRDefault="00000000" w:rsidRPr="00000000" w14:paraId="00000047">
      <w:pPr>
        <w:keepNext w:val="1"/>
        <w:spacing w:after="240" w:before="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240" w:line="240" w:lineRule="auto"/>
        <w:ind w:firstLine="426"/>
        <w:jc w:val="center"/>
        <w:rPr>
          <w:rFonts w:ascii="Arial Bold" w:cs="Arial Bold" w:eastAsia="Arial Bold" w:hAnsi="Arial Bold"/>
          <w:b w:val="1"/>
          <w:smallCaps w:val="1"/>
          <w:color w:val="000000"/>
        </w:rPr>
      </w:pPr>
      <w:r w:rsidDel="00000000" w:rsidR="00000000" w:rsidRPr="00000000">
        <w:rPr>
          <w:rtl w:val="0"/>
        </w:rPr>
      </w:r>
    </w:p>
    <w:p w:rsidR="00000000" w:rsidDel="00000000" w:rsidP="00000000" w:rsidRDefault="00000000" w:rsidRPr="00000000" w14:paraId="00000049">
      <w:pPr>
        <w:spacing w:after="240" w:line="240" w:lineRule="auto"/>
        <w:ind w:firstLine="426"/>
        <w:jc w:val="center"/>
        <w:rPr>
          <w:rFonts w:ascii="Arial Bold" w:cs="Arial Bold" w:eastAsia="Arial Bold" w:hAnsi="Arial Bold"/>
          <w:b w:val="1"/>
          <w:smallCaps w:val="1"/>
          <w:color w:val="000000"/>
        </w:rPr>
      </w:pPr>
      <w:r w:rsidDel="00000000" w:rsidR="00000000" w:rsidRPr="00000000">
        <w:rPr>
          <w:rtl w:val="0"/>
        </w:rPr>
      </w:r>
    </w:p>
    <w:p w:rsidR="00000000" w:rsidDel="00000000" w:rsidP="00000000" w:rsidRDefault="00000000" w:rsidRPr="00000000" w14:paraId="0000004A">
      <w:pPr>
        <w:spacing w:after="240" w:line="240" w:lineRule="auto"/>
        <w:ind w:firstLine="426"/>
        <w:jc w:val="center"/>
        <w:rPr>
          <w:rFonts w:ascii="Arial Bold" w:cs="Arial Bold" w:eastAsia="Arial Bold" w:hAnsi="Arial Bold"/>
          <w:b w:val="1"/>
          <w:smallCaps w:val="1"/>
          <w:color w:val="000000"/>
        </w:rPr>
      </w:pPr>
      <w:r w:rsidDel="00000000" w:rsidR="00000000" w:rsidRPr="00000000">
        <w:rPr>
          <w:rtl w:val="0"/>
        </w:rPr>
      </w:r>
    </w:p>
    <w:p w:rsidR="00000000" w:rsidDel="00000000" w:rsidP="00000000" w:rsidRDefault="00000000" w:rsidRPr="00000000" w14:paraId="0000004B">
      <w:pPr>
        <w:spacing w:after="240" w:line="240" w:lineRule="auto"/>
        <w:ind w:firstLine="426"/>
        <w:jc w:val="center"/>
        <w:rPr>
          <w:rFonts w:ascii="Arial Bold" w:cs="Arial Bold" w:eastAsia="Arial Bold" w:hAnsi="Arial Bold"/>
          <w:b w:val="1"/>
          <w:smallCaps w:val="1"/>
          <w:color w:val="000000"/>
        </w:rPr>
      </w:pPr>
      <w:r w:rsidDel="00000000" w:rsidR="00000000" w:rsidRPr="00000000">
        <w:rPr>
          <w:rtl w:val="0"/>
        </w:rPr>
      </w:r>
    </w:p>
    <w:p w:rsidR="00000000" w:rsidDel="00000000" w:rsidP="00000000" w:rsidRDefault="00000000" w:rsidRPr="00000000" w14:paraId="0000004C">
      <w:pPr>
        <w:spacing w:after="240" w:line="240" w:lineRule="auto"/>
        <w:ind w:firstLine="426"/>
        <w:jc w:val="center"/>
        <w:rPr>
          <w:rFonts w:ascii="Arial Bold" w:cs="Arial Bold" w:eastAsia="Arial Bold" w:hAnsi="Arial Bold"/>
          <w:b w:val="1"/>
          <w:smallCaps w:val="1"/>
          <w:color w:val="000000"/>
        </w:rPr>
      </w:pPr>
      <w:r w:rsidDel="00000000" w:rsidR="00000000" w:rsidRPr="00000000">
        <w:rPr>
          <w:rtl w:val="0"/>
        </w:rPr>
      </w:r>
    </w:p>
    <w:p w:rsidR="00000000" w:rsidDel="00000000" w:rsidP="00000000" w:rsidRDefault="00000000" w:rsidRPr="00000000" w14:paraId="0000004D">
      <w:pPr>
        <w:spacing w:after="240" w:line="240" w:lineRule="auto"/>
        <w:ind w:firstLine="426"/>
        <w:jc w:val="center"/>
        <w:rPr>
          <w:rFonts w:ascii="Arial Bold" w:cs="Arial Bold" w:eastAsia="Arial Bold" w:hAnsi="Arial Bold"/>
          <w:b w:val="1"/>
          <w:smallCaps w:val="1"/>
          <w:color w:val="000000"/>
        </w:rPr>
      </w:pPr>
      <w:r w:rsidDel="00000000" w:rsidR="00000000" w:rsidRPr="00000000">
        <w:rPr>
          <w:rtl w:val="0"/>
        </w:rPr>
      </w:r>
    </w:p>
    <w:p w:rsidR="00000000" w:rsidDel="00000000" w:rsidP="00000000" w:rsidRDefault="00000000" w:rsidRPr="00000000" w14:paraId="0000004E">
      <w:pPr>
        <w:spacing w:after="240" w:line="240" w:lineRule="auto"/>
        <w:ind w:firstLine="426"/>
        <w:jc w:val="center"/>
        <w:rPr>
          <w:rFonts w:ascii="Arial Bold" w:cs="Arial Bold" w:eastAsia="Arial Bold" w:hAnsi="Arial Bold"/>
          <w:b w:val="1"/>
          <w:smallCaps w:val="1"/>
          <w:color w:val="000000"/>
        </w:rPr>
      </w:pPr>
      <w:r w:rsidDel="00000000" w:rsidR="00000000" w:rsidRPr="00000000">
        <w:rPr>
          <w:rtl w:val="0"/>
        </w:rPr>
      </w:r>
    </w:p>
    <w:p w:rsidR="00000000" w:rsidDel="00000000" w:rsidP="00000000" w:rsidRDefault="00000000" w:rsidRPr="00000000" w14:paraId="0000004F">
      <w:pPr>
        <w:spacing w:after="240" w:line="240" w:lineRule="auto"/>
        <w:ind w:firstLine="426"/>
        <w:jc w:val="center"/>
        <w:rPr>
          <w:rFonts w:ascii="Arial Bold" w:cs="Arial Bold" w:eastAsia="Arial Bold" w:hAnsi="Arial Bold"/>
          <w:b w:val="1"/>
          <w:smallCaps w:val="1"/>
          <w:color w:val="000000"/>
        </w:rPr>
      </w:pPr>
      <w:r w:rsidDel="00000000" w:rsidR="00000000" w:rsidRPr="00000000">
        <w:rPr>
          <w:rtl w:val="0"/>
        </w:rPr>
      </w:r>
    </w:p>
    <w:p w:rsidR="00000000" w:rsidDel="00000000" w:rsidP="00000000" w:rsidRDefault="00000000" w:rsidRPr="00000000" w14:paraId="00000050">
      <w:pPr>
        <w:spacing w:after="240" w:line="240" w:lineRule="auto"/>
        <w:ind w:firstLine="426"/>
        <w:jc w:val="center"/>
        <w:rPr>
          <w:rFonts w:ascii="Arial Bold" w:cs="Arial Bold" w:eastAsia="Arial Bold" w:hAnsi="Arial Bold"/>
          <w:b w:val="1"/>
          <w:smallCaps w:val="1"/>
          <w:color w:val="000000"/>
        </w:rPr>
      </w:pPr>
      <w:r w:rsidDel="00000000" w:rsidR="00000000" w:rsidRPr="00000000">
        <w:rPr>
          <w:rtl w:val="0"/>
        </w:rPr>
      </w:r>
    </w:p>
    <w:p w:rsidR="00000000" w:rsidDel="00000000" w:rsidP="00000000" w:rsidRDefault="00000000" w:rsidRPr="00000000" w14:paraId="00000051">
      <w:pPr>
        <w:spacing w:after="240" w:line="240" w:lineRule="auto"/>
        <w:ind w:firstLine="426"/>
        <w:jc w:val="center"/>
        <w:rPr>
          <w:rFonts w:ascii="Arial Bold" w:cs="Arial Bold" w:eastAsia="Arial Bold" w:hAnsi="Arial Bold"/>
          <w:b w:val="1"/>
          <w:smallCaps w:val="1"/>
          <w:color w:val="000000"/>
        </w:rPr>
      </w:pPr>
      <w:r w:rsidDel="00000000" w:rsidR="00000000" w:rsidRPr="00000000">
        <w:rPr>
          <w:rtl w:val="0"/>
        </w:rPr>
      </w:r>
    </w:p>
    <w:p w:rsidR="00000000" w:rsidDel="00000000" w:rsidP="00000000" w:rsidRDefault="00000000" w:rsidRPr="00000000" w14:paraId="00000052">
      <w:pPr>
        <w:spacing w:after="240" w:line="240" w:lineRule="auto"/>
        <w:ind w:firstLine="426"/>
        <w:jc w:val="center"/>
        <w:rPr>
          <w:rFonts w:ascii="Arial Bold" w:cs="Arial Bold" w:eastAsia="Arial Bold" w:hAnsi="Arial Bold"/>
          <w:b w:val="1"/>
          <w:smallCaps w:val="1"/>
          <w:color w:val="000000"/>
        </w:rPr>
      </w:pPr>
      <w:r w:rsidDel="00000000" w:rsidR="00000000" w:rsidRPr="00000000">
        <w:rPr>
          <w:rtl w:val="0"/>
        </w:rPr>
      </w:r>
    </w:p>
    <w:p w:rsidR="00000000" w:rsidDel="00000000" w:rsidP="00000000" w:rsidRDefault="00000000" w:rsidRPr="00000000" w14:paraId="00000053">
      <w:pPr>
        <w:spacing w:after="240" w:line="240" w:lineRule="auto"/>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54">
      <w:pPr>
        <w:spacing w:after="240" w:line="240" w:lineRule="auto"/>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55">
      <w:pPr>
        <w:spacing w:after="240" w:line="240" w:lineRule="auto"/>
        <w:rPr>
          <w:rFonts w:ascii="Arial" w:cs="Arial" w:eastAsia="Arial" w:hAnsi="Arial"/>
          <w:b w:val="1"/>
          <w:smallCaps w:val="1"/>
          <w:color w:val="000000"/>
          <w:sz w:val="36"/>
          <w:szCs w:val="36"/>
        </w:rPr>
      </w:pPr>
      <w:r w:rsidDel="00000000" w:rsidR="00000000" w:rsidRPr="00000000">
        <w:rPr>
          <w:rFonts w:ascii="Arial" w:cs="Arial" w:eastAsia="Arial" w:hAnsi="Arial"/>
          <w:b w:val="1"/>
          <w:smallCaps w:val="1"/>
          <w:color w:val="000000"/>
          <w:sz w:val="36"/>
          <w:szCs w:val="36"/>
          <w:rtl w:val="0"/>
        </w:rPr>
        <w:t xml:space="preserve">ANNEX 2: RATES AND PRICES</w:t>
      </w:r>
    </w:p>
    <w:p w:rsidR="00000000" w:rsidDel="00000000" w:rsidP="00000000" w:rsidRDefault="00000000" w:rsidRPr="00000000" w14:paraId="00000056">
      <w:pPr>
        <w:spacing w:after="240" w:line="240" w:lineRule="auto"/>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57">
      <w:pPr>
        <w:spacing w:after="240" w:before="240" w:line="240" w:lineRule="auto"/>
        <w:rPr>
          <w:rFonts w:ascii="Arial" w:cs="Arial" w:eastAsia="Arial" w:hAnsi="Arial"/>
          <w:sz w:val="32"/>
          <w:szCs w:val="32"/>
        </w:rPr>
      </w:pPr>
      <w:r w:rsidDel="00000000" w:rsidR="00000000" w:rsidRPr="00000000">
        <w:rPr>
          <w:rFonts w:ascii="Arial" w:cs="Arial" w:eastAsia="Arial" w:hAnsi="Arial"/>
          <w:b w:val="1"/>
          <w:smallCaps w:val="1"/>
          <w:sz w:val="36"/>
          <w:szCs w:val="36"/>
          <w:rtl w:val="0"/>
        </w:rPr>
        <w:t xml:space="preserve">TABLE 1: Water and sewerage services </w:t>
      </w:r>
      <w:r w:rsidDel="00000000" w:rsidR="00000000" w:rsidRPr="00000000">
        <w:rPr>
          <w:rFonts w:ascii="Arial" w:cs="Arial" w:eastAsia="Arial" w:hAnsi="Arial"/>
          <w:b w:val="1"/>
          <w:smallCaps w:val="1"/>
          <w:sz w:val="32"/>
          <w:szCs w:val="32"/>
          <w:rtl w:val="0"/>
        </w:rPr>
        <w:t xml:space="preserve">(Lot 1)</w:t>
      </w:r>
      <w:r w:rsidDel="00000000" w:rsidR="00000000" w:rsidRPr="00000000">
        <w:rPr>
          <w:rtl w:val="0"/>
        </w:rPr>
      </w:r>
    </w:p>
    <w:tbl>
      <w:tblPr>
        <w:tblStyle w:val="Table2"/>
        <w:tblW w:w="911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74"/>
        <w:gridCol w:w="4840"/>
        <w:tblGridChange w:id="0">
          <w:tblGrid>
            <w:gridCol w:w="4274"/>
            <w:gridCol w:w="4840"/>
          </w:tblGrid>
        </w:tblGridChange>
      </w:tblGrid>
      <w:tr>
        <w:trPr>
          <w:cantSplit w:val="0"/>
          <w:trHeight w:val="43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tcPr>
          <w:p w:rsidR="00000000" w:rsidDel="00000000" w:rsidP="00000000" w:rsidRDefault="00000000" w:rsidRPr="00000000" w14:paraId="00000058">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b w:val="1"/>
                <w:rtl w:val="0"/>
              </w:rPr>
              <w:t xml:space="preserve">Framework Price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tcPr>
          <w:p w:rsidR="00000000" w:rsidDel="00000000" w:rsidP="00000000" w:rsidRDefault="00000000" w:rsidRPr="00000000" w14:paraId="00000059">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b w:val="1"/>
                <w:rtl w:val="0"/>
              </w:rPr>
              <w:t xml:space="preserve">Retail Percentage Charge (%)</w:t>
            </w:r>
            <w:r w:rsidDel="00000000" w:rsidR="00000000" w:rsidRPr="00000000">
              <w:rPr>
                <w:rtl w:val="0"/>
              </w:rPr>
            </w:r>
          </w:p>
        </w:tc>
      </w:tr>
      <w:tr>
        <w:trPr>
          <w:cantSplit w:val="0"/>
          <w:trHeight w:val="42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A">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tl w:val="0"/>
              </w:rPr>
              <w:t xml:space="preserve">Metered Water Supply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tcPr>
          <w:p w:rsidR="00000000" w:rsidDel="00000000" w:rsidP="00000000" w:rsidRDefault="00000000" w:rsidRPr="00000000" w14:paraId="0000005B">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3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C">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tl w:val="0"/>
              </w:rPr>
              <w:t xml:space="preserve">Metered Wastewater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tcPr>
          <w:p w:rsidR="00000000" w:rsidDel="00000000" w:rsidP="00000000" w:rsidRDefault="00000000" w:rsidRPr="00000000" w14:paraId="0000005D">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2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E">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tl w:val="0"/>
              </w:rPr>
              <w:t xml:space="preserve">Unmetered Water Supply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tcPr>
          <w:p w:rsidR="00000000" w:rsidDel="00000000" w:rsidP="00000000" w:rsidRDefault="00000000" w:rsidRPr="00000000" w14:paraId="0000005F">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3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0">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tl w:val="0"/>
              </w:rPr>
              <w:t xml:space="preserve">Unmetered Wastewater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tcPr>
          <w:p w:rsidR="00000000" w:rsidDel="00000000" w:rsidP="00000000" w:rsidRDefault="00000000" w:rsidRPr="00000000" w14:paraId="00000061">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359"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2">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tl w:val="0"/>
              </w:rPr>
              <w:t xml:space="preserve">Trade Effluent Services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tcPr>
          <w:p w:rsidR="00000000" w:rsidDel="00000000" w:rsidP="00000000" w:rsidRDefault="00000000" w:rsidRPr="00000000" w14:paraId="00000063">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64">
      <w:pPr>
        <w:spacing w:after="240" w:line="240" w:lineRule="auto"/>
        <w:jc w:val="center"/>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65">
      <w:pPr>
        <w:spacing w:after="240" w:line="240" w:lineRule="auto"/>
        <w:jc w:val="center"/>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66">
      <w:pPr>
        <w:spacing w:after="240" w:line="240" w:lineRule="auto"/>
        <w:jc w:val="center"/>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67">
      <w:pPr>
        <w:spacing w:after="240" w:line="240" w:lineRule="auto"/>
        <w:jc w:val="center"/>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68">
      <w:pPr>
        <w:spacing w:after="240" w:line="240" w:lineRule="auto"/>
        <w:jc w:val="center"/>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69">
      <w:pPr>
        <w:spacing w:after="240" w:line="240" w:lineRule="auto"/>
        <w:jc w:val="center"/>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6A">
      <w:pPr>
        <w:spacing w:after="240" w:line="240" w:lineRule="auto"/>
        <w:jc w:val="center"/>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6B">
      <w:pPr>
        <w:spacing w:after="240" w:line="240" w:lineRule="auto"/>
        <w:jc w:val="center"/>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6C">
      <w:pPr>
        <w:spacing w:after="240" w:line="240" w:lineRule="auto"/>
        <w:jc w:val="center"/>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6D">
      <w:pPr>
        <w:spacing w:after="240" w:line="240" w:lineRule="auto"/>
        <w:jc w:val="center"/>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6E">
      <w:pPr>
        <w:spacing w:after="240" w:line="240" w:lineRule="auto"/>
        <w:jc w:val="center"/>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6F">
      <w:pPr>
        <w:spacing w:after="240" w:line="240" w:lineRule="auto"/>
        <w:jc w:val="center"/>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70">
      <w:pPr>
        <w:spacing w:after="240" w:before="240" w:line="240" w:lineRule="auto"/>
        <w:rPr>
          <w:rFonts w:ascii="Arial" w:cs="Arial" w:eastAsia="Arial" w:hAnsi="Arial"/>
          <w:sz w:val="32"/>
          <w:szCs w:val="32"/>
        </w:rPr>
      </w:pPr>
      <w:r w:rsidDel="00000000" w:rsidR="00000000" w:rsidRPr="00000000">
        <w:rPr>
          <w:rFonts w:ascii="Arial" w:cs="Arial" w:eastAsia="Arial" w:hAnsi="Arial"/>
          <w:b w:val="1"/>
          <w:smallCaps w:val="1"/>
          <w:color w:val="000000"/>
          <w:sz w:val="36"/>
          <w:szCs w:val="36"/>
          <w:rtl w:val="0"/>
        </w:rPr>
        <w:t xml:space="preserve">TABLE </w:t>
      </w:r>
      <w:r w:rsidDel="00000000" w:rsidR="00000000" w:rsidRPr="00000000">
        <w:rPr>
          <w:rFonts w:ascii="Arial" w:cs="Arial" w:eastAsia="Arial" w:hAnsi="Arial"/>
          <w:b w:val="1"/>
          <w:smallCaps w:val="1"/>
          <w:sz w:val="36"/>
          <w:szCs w:val="36"/>
          <w:rtl w:val="0"/>
        </w:rPr>
        <w:t xml:space="preserve">2</w:t>
      </w:r>
      <w:r w:rsidDel="00000000" w:rsidR="00000000" w:rsidRPr="00000000">
        <w:rPr>
          <w:rFonts w:ascii="Arial" w:cs="Arial" w:eastAsia="Arial" w:hAnsi="Arial"/>
          <w:b w:val="1"/>
          <w:smallCaps w:val="1"/>
          <w:color w:val="000000"/>
          <w:sz w:val="36"/>
          <w:szCs w:val="36"/>
          <w:rtl w:val="0"/>
        </w:rPr>
        <w:t xml:space="preserve">: </w:t>
      </w:r>
      <w:r w:rsidDel="00000000" w:rsidR="00000000" w:rsidRPr="00000000">
        <w:rPr>
          <w:rFonts w:ascii="Arial" w:cs="Arial" w:eastAsia="Arial" w:hAnsi="Arial"/>
          <w:b w:val="1"/>
          <w:smallCaps w:val="1"/>
          <w:color w:val="000000"/>
          <w:sz w:val="36"/>
          <w:szCs w:val="36"/>
          <w:rtl w:val="0"/>
        </w:rPr>
        <w:t xml:space="preserve">Water ancillary services </w:t>
      </w:r>
      <w:r w:rsidDel="00000000" w:rsidR="00000000" w:rsidRPr="00000000">
        <w:rPr>
          <w:rFonts w:ascii="Arial" w:cs="Arial" w:eastAsia="Arial" w:hAnsi="Arial"/>
          <w:b w:val="1"/>
          <w:smallCaps w:val="1"/>
          <w:color w:val="000000"/>
          <w:sz w:val="32"/>
          <w:szCs w:val="32"/>
          <w:rtl w:val="0"/>
        </w:rPr>
        <w:t xml:space="preserve">(Lot 2)</w:t>
      </w:r>
      <w:r w:rsidDel="00000000" w:rsidR="00000000" w:rsidRPr="00000000">
        <w:rPr>
          <w:rtl w:val="0"/>
        </w:rPr>
      </w:r>
    </w:p>
    <w:tbl>
      <w:tblPr>
        <w:tblStyle w:val="Table3"/>
        <w:tblW w:w="94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5"/>
        <w:gridCol w:w="3405"/>
        <w:gridCol w:w="1680"/>
        <w:tblGridChange w:id="0">
          <w:tblGrid>
            <w:gridCol w:w="4395"/>
            <w:gridCol w:w="3405"/>
            <w:gridCol w:w="16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tcPr>
          <w:p w:rsidR="00000000" w:rsidDel="00000000" w:rsidP="00000000" w:rsidRDefault="00000000" w:rsidRPr="00000000" w14:paraId="00000071">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b w:val="1"/>
                <w:color w:val="000000"/>
                <w:rtl w:val="0"/>
              </w:rPr>
              <w:t xml:space="preserve">Service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tcPr>
          <w:p w:rsidR="00000000" w:rsidDel="00000000" w:rsidP="00000000" w:rsidRDefault="00000000" w:rsidRPr="00000000" w14:paraId="00000072">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b w:val="1"/>
                <w:color w:val="000000"/>
                <w:rtl w:val="0"/>
              </w:rPr>
              <w:t xml:space="preserve">Cost Metric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tcPr>
          <w:p w:rsidR="00000000" w:rsidDel="00000000" w:rsidP="00000000" w:rsidRDefault="00000000" w:rsidRPr="00000000" w14:paraId="00000073">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b w:val="1"/>
                <w:color w:val="000000"/>
                <w:rtl w:val="0"/>
              </w:rPr>
              <w:t xml:space="preserve">Price (</w:t>
            </w:r>
            <w:r w:rsidDel="00000000" w:rsidR="00000000" w:rsidRPr="00000000">
              <w:rPr>
                <w:b w:val="1"/>
                <w:rtl w:val="0"/>
              </w:rPr>
              <w:t xml:space="preserve">£0.00)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4">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Water Footprint Assessment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5">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Day Rate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6">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7">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Tariff Optimisation and Benchmarking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8">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Fee Per Meter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9">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A">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Water Audit Site Surveys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B">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Day Rate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C">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D">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Leak Detection and Repair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E">
            <w:pPr>
              <w:spacing w:after="120" w:before="240" w:line="240" w:lineRule="auto"/>
              <w:ind w:left="142" w:firstLine="0"/>
              <w:jc w:val="both"/>
              <w:rPr>
                <w:rFonts w:ascii="Times New Roman" w:cs="Times New Roman" w:eastAsia="Times New Roman" w:hAnsi="Times New Roman"/>
                <w:strike w:val="1"/>
                <w:sz w:val="24"/>
                <w:szCs w:val="24"/>
              </w:rPr>
            </w:pPr>
            <w:r w:rsidDel="00000000" w:rsidR="00000000" w:rsidRPr="00000000">
              <w:rPr>
                <w:rFonts w:ascii="Calibri" w:cs="Calibri" w:eastAsia="Calibri" w:hAnsi="Calibri"/>
                <w:color w:val="000000"/>
                <w:rtl w:val="0"/>
              </w:rPr>
              <w:t xml:space="preserve">Day Rate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F">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0">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Contingency Planning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1">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Day Rate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2">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3">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Legionella Risk Assessment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4">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Day Rate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5">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6">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Automated Meter Reading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7">
            <w:pPr>
              <w:spacing w:after="120" w:before="240" w:line="240" w:lineRule="auto"/>
              <w:ind w:left="142" w:firstLine="0"/>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Annual Fee per 1 Asset installed, commissioned, maintained and communications/data feed per year.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8">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9">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Bill Validation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A">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Fee Per Meter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B">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tcPr>
          <w:p w:rsidR="00000000" w:rsidDel="00000000" w:rsidP="00000000" w:rsidRDefault="00000000" w:rsidRPr="00000000" w14:paraId="0000008C">
            <w:pPr>
              <w:spacing w:after="120" w:before="240" w:lineRule="auto"/>
              <w:ind w:left="142" w:firstLine="0"/>
              <w:jc w:val="both"/>
              <w:rPr>
                <w:rFonts w:ascii="Times New Roman" w:cs="Times New Roman" w:eastAsia="Times New Roman" w:hAnsi="Times New Roman"/>
                <w:sz w:val="24"/>
                <w:szCs w:val="24"/>
              </w:rPr>
            </w:pPr>
            <w:r w:rsidDel="00000000" w:rsidR="00000000" w:rsidRPr="00000000">
              <w:rPr>
                <w:b w:val="1"/>
                <w:rtl w:val="0"/>
              </w:rPr>
              <w:t xml:space="preserve">Service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tcPr>
          <w:p w:rsidR="00000000" w:rsidDel="00000000" w:rsidP="00000000" w:rsidRDefault="00000000" w:rsidRPr="00000000" w14:paraId="0000008D">
            <w:pPr>
              <w:spacing w:after="120" w:before="240" w:lineRule="auto"/>
              <w:ind w:left="142" w:firstLine="0"/>
              <w:jc w:val="both"/>
              <w:rPr>
                <w:rFonts w:ascii="Times New Roman" w:cs="Times New Roman" w:eastAsia="Times New Roman" w:hAnsi="Times New Roman"/>
                <w:sz w:val="24"/>
                <w:szCs w:val="24"/>
              </w:rPr>
            </w:pPr>
            <w:r w:rsidDel="00000000" w:rsidR="00000000" w:rsidRPr="00000000">
              <w:rPr>
                <w:b w:val="1"/>
                <w:rtl w:val="0"/>
              </w:rPr>
              <w:t xml:space="preserve">Cost Metric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tcPr>
          <w:p w:rsidR="00000000" w:rsidDel="00000000" w:rsidP="00000000" w:rsidRDefault="00000000" w:rsidRPr="00000000" w14:paraId="0000008E">
            <w:pPr>
              <w:spacing w:after="120" w:before="240" w:lineRule="auto"/>
              <w:ind w:left="142" w:firstLine="0"/>
              <w:jc w:val="both"/>
              <w:rPr>
                <w:rFonts w:ascii="Times New Roman" w:cs="Times New Roman" w:eastAsia="Times New Roman" w:hAnsi="Times New Roman"/>
                <w:sz w:val="24"/>
                <w:szCs w:val="24"/>
              </w:rPr>
            </w:pPr>
            <w:r w:rsidDel="00000000" w:rsidR="00000000" w:rsidRPr="00000000">
              <w:rPr>
                <w:b w:val="1"/>
                <w:rtl w:val="0"/>
              </w:rPr>
              <w:t xml:space="preserve">Percentage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F">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Cost Recovery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0">
            <w:pPr>
              <w:spacing w:after="120" w:before="240" w:line="240" w:lineRule="auto"/>
              <w:ind w:left="142" w:firstLine="0"/>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rtl w:val="0"/>
              </w:rPr>
              <w:t xml:space="preserve">Percentage Share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1">
            <w:pPr>
              <w:spacing w:after="0"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92">
      <w:pPr>
        <w:spacing w:after="240" w:before="240" w:line="240" w:lineRule="auto"/>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93">
      <w:pPr>
        <w:spacing w:after="240" w:before="240" w:line="240" w:lineRule="auto"/>
        <w:rPr>
          <w:rFonts w:ascii="Arial" w:cs="Arial" w:eastAsia="Arial" w:hAnsi="Arial"/>
          <w:b w:val="1"/>
          <w:smallCaps w:val="1"/>
          <w:sz w:val="36"/>
          <w:szCs w:val="36"/>
        </w:rPr>
      </w:pPr>
      <w:r w:rsidDel="00000000" w:rsidR="00000000" w:rsidRPr="00000000">
        <w:rPr>
          <w:rtl w:val="0"/>
        </w:rPr>
      </w:r>
    </w:p>
    <w:p w:rsidR="00000000" w:rsidDel="00000000" w:rsidP="00000000" w:rsidRDefault="00000000" w:rsidRPr="00000000" w14:paraId="00000094">
      <w:pPr>
        <w:spacing w:after="240" w:before="240" w:line="240" w:lineRule="auto"/>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95">
      <w:pPr>
        <w:spacing w:after="240" w:before="240" w:line="240" w:lineRule="auto"/>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96">
      <w:pPr>
        <w:spacing w:after="240" w:before="240" w:line="240" w:lineRule="auto"/>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97">
      <w:pPr>
        <w:spacing w:after="240" w:line="240" w:lineRule="auto"/>
        <w:jc w:val="center"/>
        <w:rPr>
          <w:rFonts w:ascii="Arial Bold" w:cs="Arial Bold" w:eastAsia="Arial Bold" w:hAnsi="Arial Bold"/>
          <w:b w:val="1"/>
          <w:smallCaps w:val="1"/>
          <w:color w:val="000000"/>
        </w:rPr>
      </w:pPr>
      <w:r w:rsidDel="00000000" w:rsidR="00000000" w:rsidRPr="00000000">
        <w:rPr>
          <w:rtl w:val="0"/>
        </w:rPr>
      </w:r>
    </w:p>
    <w:p w:rsidR="00000000" w:rsidDel="00000000" w:rsidP="00000000" w:rsidRDefault="00000000" w:rsidRPr="00000000" w14:paraId="00000098">
      <w:pPr>
        <w:spacing w:after="240" w:line="240" w:lineRule="auto"/>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99">
      <w:pPr>
        <w:spacing w:after="240" w:line="240" w:lineRule="auto"/>
        <w:rPr>
          <w:rFonts w:ascii="Calibri" w:cs="Calibri" w:eastAsia="Calibri" w:hAnsi="Calibri"/>
          <w:color w:val="000000"/>
          <w:sz w:val="18"/>
          <w:szCs w:val="18"/>
        </w:rPr>
      </w:pPr>
      <w:r w:rsidDel="00000000" w:rsidR="00000000" w:rsidRPr="00000000">
        <w:rPr>
          <w:rFonts w:ascii="Arial" w:cs="Arial" w:eastAsia="Arial" w:hAnsi="Arial"/>
          <w:b w:val="1"/>
          <w:smallCaps w:val="1"/>
          <w:color w:val="000000"/>
          <w:sz w:val="36"/>
          <w:szCs w:val="36"/>
          <w:rtl w:val="0"/>
        </w:rPr>
        <w:t xml:space="preserve">ANNEX 3: FRAMEWORK PRICES </w:t>
      </w:r>
      <w:r w:rsidDel="00000000" w:rsidR="00000000" w:rsidRPr="00000000">
        <w:rPr>
          <w:rFonts w:ascii="Arial" w:cs="Arial" w:eastAsia="Arial" w:hAnsi="Arial"/>
          <w:b w:val="1"/>
          <w:smallCaps w:val="1"/>
          <w:color w:val="000000"/>
          <w:sz w:val="32"/>
          <w:szCs w:val="32"/>
          <w:rtl w:val="0"/>
        </w:rPr>
        <w:t xml:space="preserve">(Lot 3)</w:t>
      </w:r>
      <w:r w:rsidDel="00000000" w:rsidR="00000000" w:rsidRPr="00000000">
        <w:rPr>
          <w:rtl w:val="0"/>
        </w:rPr>
      </w:r>
    </w:p>
    <w:p w:rsidR="00000000" w:rsidDel="00000000" w:rsidP="00000000" w:rsidRDefault="00000000" w:rsidRPr="00000000" w14:paraId="0000009A">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Suppliers awarded on both Lot 1 and Lot 2 combined will automatically become a Lot 3 supplier.</w:t>
      </w:r>
    </w:p>
    <w:p w:rsidR="00000000" w:rsidDel="00000000" w:rsidP="00000000" w:rsidRDefault="00000000" w:rsidRPr="00000000" w14:paraId="0000009B">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Please refer to Annex 2 – Table 1 - Water Ancillary Services and Table 2 – Water and Sewerage Services to create the Lot 3 framework prices.</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3">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7">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Table3">
    <w:basedOn w:val="TableNormal"/>
    <w:pPr>
      <w:spacing w:after="0" w:line="240" w:lineRule="auto"/>
    </w:p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Nn2/H2u5Fk6vNAoFQEsfBsaB3g==">CgMxLjAyCGguZ2pkZ3hzMgloLjMwajB6bGwyCmlkLjN6bnlzaDcyCWguMWZvYjl0ZTIJaC4yZXQ5MnAwMghoLnR5amN3dDgAciExNmhfbjVoWnVUTFkxMVJySXBJZFhjU1VjM0FMOFBzNEI=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